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A9" w:rsidRPr="00E33372" w:rsidRDefault="008627A9">
      <w:pPr>
        <w:rPr>
          <w:b/>
        </w:rPr>
      </w:pPr>
      <w:bookmarkStart w:id="0" w:name="_GoBack"/>
      <w:bookmarkEnd w:id="0"/>
      <w:r w:rsidRPr="00E33372">
        <w:rPr>
          <w:b/>
        </w:rPr>
        <w:t>UNE PROPOSITION D’EXPLOITATION PEDAGOGIQUE AUTOUR DE LA NATURE MORTE</w:t>
      </w:r>
    </w:p>
    <w:p w:rsidR="008627A9" w:rsidRDefault="008627A9" w:rsidP="008627A9">
      <w:pPr>
        <w:rPr>
          <w:b/>
        </w:rPr>
      </w:pPr>
    </w:p>
    <w:p w:rsidR="008627A9" w:rsidRDefault="008627A9" w:rsidP="008627A9">
      <w:r w:rsidRPr="004C3FEE">
        <w:rPr>
          <w:b/>
          <w:i/>
          <w:sz w:val="28"/>
          <w:szCs w:val="28"/>
        </w:rPr>
        <w:t>Préparation de la rencontre avec l’œuvre</w:t>
      </w:r>
      <w:r w:rsidRPr="004C3FEE">
        <w:rPr>
          <w:i/>
          <w:sz w:val="28"/>
          <w:szCs w:val="28"/>
        </w:rPr>
        <w:t> </w:t>
      </w:r>
      <w:r w:rsidRPr="004C3FEE">
        <w:rPr>
          <w:b/>
          <w:sz w:val="28"/>
          <w:szCs w:val="28"/>
        </w:rPr>
        <w:t>Nature morte cassée</w:t>
      </w:r>
      <w:r w:rsidRPr="004C3FEE">
        <w:rPr>
          <w:i/>
          <w:sz w:val="28"/>
          <w:szCs w:val="28"/>
        </w:rPr>
        <w:t xml:space="preserve"> </w:t>
      </w:r>
      <w:r w:rsidRPr="004C3FEE">
        <w:rPr>
          <w:b/>
          <w:i/>
          <w:sz w:val="28"/>
          <w:szCs w:val="28"/>
        </w:rPr>
        <w:t>de Raymond Waydelich</w:t>
      </w:r>
      <w:r w:rsidR="007108BE" w:rsidRPr="004C3FEE">
        <w:rPr>
          <w:b/>
          <w:i/>
          <w:sz w:val="28"/>
          <w:szCs w:val="28"/>
        </w:rPr>
        <w:t> </w:t>
      </w:r>
      <w:r w:rsidRPr="004C3FEE">
        <w:rPr>
          <w:i/>
          <w:sz w:val="28"/>
          <w:szCs w:val="28"/>
        </w:rPr>
        <w:t>:</w:t>
      </w:r>
      <w:r>
        <w:t xml:space="preserve"> idéalement, un petit travail préparatoire devant quelques natures mortes symboliques du XVII</w:t>
      </w:r>
      <w:r w:rsidRPr="005B6311">
        <w:rPr>
          <w:vertAlign w:val="superscript"/>
        </w:rPr>
        <w:t>e</w:t>
      </w:r>
      <w:r>
        <w:t xml:space="preserve"> siècle rendrait l’exploitation de l’œuvre plus riche. En effet, cette œuvre dialogue fortement avec les natures mortes anciennes et on passerait à côté d’une part importante de sa compréhension si on ne faisait pas ce lien.</w:t>
      </w:r>
    </w:p>
    <w:p w:rsidR="007108BE" w:rsidRPr="004C0C0A" w:rsidRDefault="007108BE" w:rsidP="008627A9">
      <w:pPr>
        <w:rPr>
          <w:b/>
          <w:u w:val="single"/>
        </w:rPr>
      </w:pPr>
      <w:r w:rsidRPr="004C0C0A">
        <w:rPr>
          <w:b/>
          <w:u w:val="single"/>
        </w:rPr>
        <w:t>Annonce du projet avec les élèves :</w:t>
      </w:r>
    </w:p>
    <w:p w:rsidR="007108BE" w:rsidRDefault="007108BE" w:rsidP="008627A9">
      <w:r>
        <w:t>Nous allons voir une nature morte contemporaine</w:t>
      </w:r>
      <w:r w:rsidR="00F01917">
        <w:t xml:space="preserve"> réalisé par un artiste alsacien : Raymond Waydelich</w:t>
      </w:r>
      <w:r>
        <w:t xml:space="preserve"> au Musée de la Folie Marco</w:t>
      </w:r>
      <w:r w:rsidR="00F01917">
        <w:t>.</w:t>
      </w:r>
    </w:p>
    <w:p w:rsidR="007108BE" w:rsidRDefault="007108BE" w:rsidP="008627A9">
      <w:r>
        <w:t xml:space="preserve">- </w:t>
      </w:r>
      <w:r w:rsidRPr="004C0C0A">
        <w:rPr>
          <w:u w:val="single"/>
        </w:rPr>
        <w:t>Elucidation du terme nature morte</w:t>
      </w:r>
      <w:r>
        <w:t> : un tableau qui représente en général des objets, parfois des insectes mais aucun personnage. Un genre de peinture très à la mode au XVII</w:t>
      </w:r>
      <w:r w:rsidRPr="004C0C0A">
        <w:rPr>
          <w:vertAlign w:val="superscript"/>
        </w:rPr>
        <w:t>e</w:t>
      </w:r>
      <w:r>
        <w:t xml:space="preserve"> siècle que les artistes du XX</w:t>
      </w:r>
      <w:r w:rsidRPr="004C0C0A">
        <w:rPr>
          <w:vertAlign w:val="superscript"/>
        </w:rPr>
        <w:t>e</w:t>
      </w:r>
      <w:r>
        <w:t xml:space="preserve"> siècle on</w:t>
      </w:r>
      <w:r w:rsidR="004C0C0A">
        <w:t>t remis</w:t>
      </w:r>
      <w:r>
        <w:t xml:space="preserve"> au goût du jour. On peut dire </w:t>
      </w:r>
      <w:r w:rsidR="006D7218">
        <w:t xml:space="preserve">aux élèves que dans </w:t>
      </w:r>
      <w:r w:rsidR="003D1D65">
        <w:t>de nombreux</w:t>
      </w:r>
      <w:r w:rsidR="006D7218">
        <w:t xml:space="preserve"> pays, ce genre de tableaux ne s’appelle pas « nature morte » mais « vie silencieuse »</w:t>
      </w:r>
      <w:r w:rsidR="003D1D65">
        <w:t xml:space="preserve"> (Still Leben en allemand par exemple)</w:t>
      </w:r>
      <w:r w:rsidR="00F01917">
        <w:t>.</w:t>
      </w:r>
    </w:p>
    <w:p w:rsidR="00F01917" w:rsidRDefault="00F01917" w:rsidP="008627A9">
      <w:r>
        <w:t>Mais pour regarder cette œuvre et pouvoir comprendre certains de ses as</w:t>
      </w:r>
      <w:r w:rsidR="002149CB">
        <w:t>pects, il faut connaître un peu</w:t>
      </w:r>
      <w:r>
        <w:t xml:space="preserve"> les natures mortes anciennes</w:t>
      </w:r>
      <w:r w:rsidR="002149CB">
        <w:t>, celles du XVII</w:t>
      </w:r>
      <w:r w:rsidR="002149CB" w:rsidRPr="004C0C0A">
        <w:rPr>
          <w:vertAlign w:val="superscript"/>
        </w:rPr>
        <w:t>e</w:t>
      </w:r>
      <w:r w:rsidR="002149CB">
        <w:t xml:space="preserve"> siècle qui ont certainement inspirées Raymond Waydelich.</w:t>
      </w:r>
    </w:p>
    <w:p w:rsidR="002149CB" w:rsidRDefault="004C0C0A" w:rsidP="008627A9">
      <w:r>
        <w:t xml:space="preserve">- </w:t>
      </w:r>
      <w:r w:rsidR="002149CB">
        <w:t xml:space="preserve">Nous allons observer certaines d’entre elles. Il faudra </w:t>
      </w:r>
      <w:r>
        <w:t>les avoir</w:t>
      </w:r>
      <w:r w:rsidR="002149CB">
        <w:t xml:space="preserve"> bien en mémoire lorsque nous irons au Musée de la Folie Marco, pour que nous puissions repérer </w:t>
      </w:r>
      <w:r w:rsidR="002149CB" w:rsidRPr="004C0C0A">
        <w:rPr>
          <w:u w:val="single"/>
        </w:rPr>
        <w:t>les ressemblances et les différences</w:t>
      </w:r>
      <w:r w:rsidR="002149CB">
        <w:t>.</w:t>
      </w:r>
    </w:p>
    <w:p w:rsidR="002149CB" w:rsidRPr="004C0C0A" w:rsidRDefault="002149CB" w:rsidP="008627A9">
      <w:pPr>
        <w:rPr>
          <w:b/>
          <w:u w:val="single"/>
        </w:rPr>
      </w:pPr>
      <w:r w:rsidRPr="004C0C0A">
        <w:rPr>
          <w:b/>
          <w:u w:val="single"/>
        </w:rPr>
        <w:t>Travail par groupe :</w:t>
      </w:r>
    </w:p>
    <w:p w:rsidR="002149CB" w:rsidRDefault="002149CB" w:rsidP="008627A9">
      <w:r>
        <w:t>Chaque groupe travaille sur un des tableaux, il dresse une liste des objets qui s’y trouve</w:t>
      </w:r>
      <w:r w:rsidR="003D1D65">
        <w:t xml:space="preserve"> (aider les élèves sans doute peu familiers avec certains objets</w:t>
      </w:r>
      <w:r w:rsidR="004C3FEE">
        <w:t>)</w:t>
      </w:r>
      <w:r>
        <w:t>.</w:t>
      </w:r>
    </w:p>
    <w:p w:rsidR="002149CB" w:rsidRDefault="002149CB" w:rsidP="008627A9">
      <w:r w:rsidRPr="004C0C0A">
        <w:rPr>
          <w:b/>
          <w:u w:val="single"/>
        </w:rPr>
        <w:t>Mise en commun</w:t>
      </w:r>
      <w:r>
        <w:t xml:space="preserve"> : on cherche ce qui revient souvent (voir ci-dessous). </w:t>
      </w:r>
    </w:p>
    <w:p w:rsidR="002149CB" w:rsidRDefault="002149CB" w:rsidP="008627A9">
      <w:r>
        <w:t xml:space="preserve">On observe également les différences entre les tableaux : </w:t>
      </w:r>
      <w:r w:rsidR="0061577B">
        <w:t>certains sont plutôt austères, d’autres montrent un foisonnement d’objets luxueux. Certains sont très faciles à interpréter, d’</w:t>
      </w:r>
      <w:r w:rsidR="00484235">
        <w:t>autres plus mystérieux…</w:t>
      </w:r>
    </w:p>
    <w:p w:rsidR="004C0C0A" w:rsidRDefault="004C0C0A" w:rsidP="008627A9">
      <w:r w:rsidRPr="004C0C0A">
        <w:rPr>
          <w:b/>
          <w:u w:val="single"/>
        </w:rPr>
        <w:t xml:space="preserve">On </w:t>
      </w:r>
      <w:r>
        <w:rPr>
          <w:b/>
          <w:u w:val="single"/>
        </w:rPr>
        <w:t xml:space="preserve">amène les élèves à </w:t>
      </w:r>
      <w:r w:rsidRPr="004C0C0A">
        <w:rPr>
          <w:b/>
          <w:u w:val="single"/>
        </w:rPr>
        <w:t>élucide</w:t>
      </w:r>
      <w:r>
        <w:rPr>
          <w:b/>
          <w:u w:val="single"/>
        </w:rPr>
        <w:t>r</w:t>
      </w:r>
      <w:r w:rsidRPr="004C0C0A">
        <w:rPr>
          <w:b/>
          <w:u w:val="single"/>
        </w:rPr>
        <w:t xml:space="preserve"> la portée symbolique de certains objets</w:t>
      </w:r>
      <w:r>
        <w:t xml:space="preserve"> (voir ci-d</w:t>
      </w:r>
      <w:r w:rsidR="004C3FEE">
        <w:t>essous) par un questionnement. L’expérience montre que l</w:t>
      </w:r>
      <w:r>
        <w:t>es élèves la comprennent aisément. La récurrence de la présence de ces objets dans de nombreux tableaux permet aux élèves de les interpréter facilement, ce qui exerce les compétences d’analyse d’images intéressantes à développer.</w:t>
      </w:r>
    </w:p>
    <w:p w:rsidR="002149CB" w:rsidRDefault="00484235" w:rsidP="008627A9">
      <w:r>
        <w:t>Lors de la visite au musée, on peut ramener des reproductions de natures mortes anciennes et la liste des objets qu’on y a observés.</w:t>
      </w:r>
      <w:r w:rsidR="00683499">
        <w:t xml:space="preserve"> La recherche des ressemblances / différences sera alors </w:t>
      </w:r>
      <w:r w:rsidR="004C3FEE">
        <w:t xml:space="preserve">plus </w:t>
      </w:r>
      <w:r w:rsidR="00683499">
        <w:t>aisée.</w:t>
      </w:r>
    </w:p>
    <w:p w:rsidR="00945BE4" w:rsidRDefault="00945BE4">
      <w:pPr>
        <w:rPr>
          <w:b/>
          <w:i/>
          <w:sz w:val="28"/>
          <w:szCs w:val="28"/>
        </w:rPr>
      </w:pPr>
      <w:r>
        <w:rPr>
          <w:b/>
          <w:i/>
          <w:sz w:val="28"/>
          <w:szCs w:val="28"/>
        </w:rPr>
        <w:br w:type="page"/>
      </w:r>
    </w:p>
    <w:p w:rsidR="008627A9" w:rsidRPr="004C3FEE" w:rsidRDefault="00484235" w:rsidP="008627A9">
      <w:pPr>
        <w:rPr>
          <w:b/>
          <w:i/>
          <w:sz w:val="28"/>
          <w:szCs w:val="28"/>
        </w:rPr>
      </w:pPr>
      <w:r w:rsidRPr="004C3FEE">
        <w:rPr>
          <w:b/>
          <w:i/>
          <w:sz w:val="28"/>
          <w:szCs w:val="28"/>
        </w:rPr>
        <w:lastRenderedPageBreak/>
        <w:t>I</w:t>
      </w:r>
      <w:r w:rsidR="008627A9" w:rsidRPr="004C3FEE">
        <w:rPr>
          <w:b/>
          <w:i/>
          <w:sz w:val="28"/>
          <w:szCs w:val="28"/>
        </w:rPr>
        <w:t xml:space="preserve">nvariants de la nature morte : </w:t>
      </w:r>
    </w:p>
    <w:p w:rsidR="008627A9" w:rsidRDefault="008627A9" w:rsidP="008627A9">
      <w:r>
        <w:t xml:space="preserve">- </w:t>
      </w:r>
      <w:r w:rsidRPr="00945BE4">
        <w:rPr>
          <w:b/>
          <w:u w:val="single"/>
        </w:rPr>
        <w:t>Mise en scène d’objets du quotidien</w:t>
      </w:r>
      <w:r>
        <w:t xml:space="preserve"> souvent précieux ou rares (mais pas toujours). Si les objets semblent réels grâce à la virtuosité du peintre, le tableau n’a rien de réaliste. Les objets ont été savamment disposés par le peintre pour être peints. Ce n’est pas la représentation d’un morceau de réalité.</w:t>
      </w:r>
    </w:p>
    <w:p w:rsidR="00945BE4" w:rsidRDefault="008627A9" w:rsidP="008627A9">
      <w:r>
        <w:t xml:space="preserve">- </w:t>
      </w:r>
      <w:r w:rsidRPr="00945BE4">
        <w:rPr>
          <w:b/>
          <w:u w:val="single"/>
        </w:rPr>
        <w:t>Portée symbolique de certains objets</w:t>
      </w:r>
      <w:r>
        <w:t xml:space="preserve"> ou mises en scène (très facile à décrypter avec les </w:t>
      </w:r>
      <w:r w:rsidR="00945BE4">
        <w:t>élèves</w:t>
      </w:r>
      <w:r>
        <w:t xml:space="preserve">). </w:t>
      </w:r>
    </w:p>
    <w:p w:rsidR="008627A9" w:rsidRDefault="008627A9" w:rsidP="008627A9">
      <w:r w:rsidRPr="00117293">
        <w:rPr>
          <w:u w:val="single"/>
        </w:rPr>
        <w:t>Allusion au temps qui passe et à l’inéluctabilité de la mort</w:t>
      </w:r>
      <w:r>
        <w:t> : horloges, montres, fleurs fanées, fruits gâtés, crâne, bougies soufflées, citron pelé (écoulement du temps), etc.</w:t>
      </w:r>
    </w:p>
    <w:p w:rsidR="008627A9" w:rsidRDefault="008627A9" w:rsidP="008627A9">
      <w:r w:rsidRPr="00117293">
        <w:rPr>
          <w:u w:val="single"/>
        </w:rPr>
        <w:t>Allusion à la fragilité de la vie</w:t>
      </w:r>
      <w:r>
        <w:t> : objets en équilibre instable, bulles de savon, objets cassés (souvent en verre), bougie à peine éteinte.</w:t>
      </w:r>
    </w:p>
    <w:p w:rsidR="008627A9" w:rsidRDefault="008627A9" w:rsidP="008627A9">
      <w:r w:rsidRPr="00117293">
        <w:rPr>
          <w:u w:val="single"/>
        </w:rPr>
        <w:t>Allusion aux 5 sens</w:t>
      </w:r>
      <w:r>
        <w:t xml:space="preserve"> : </w:t>
      </w:r>
      <w:r>
        <w:br/>
        <w:t xml:space="preserve">dés, cartes à jouer, etc. &gt; toucher, </w:t>
      </w:r>
      <w:r>
        <w:br/>
        <w:t xml:space="preserve">fleurs, etc. &gt; odorat, </w:t>
      </w:r>
      <w:r>
        <w:br/>
        <w:t xml:space="preserve">fruits, denrées, etc. &gt; goût, </w:t>
      </w:r>
      <w:r>
        <w:br/>
        <w:t xml:space="preserve">instruments de musique, partition, etc. &gt; ouïe, </w:t>
      </w:r>
      <w:r>
        <w:br/>
        <w:t>gravures, tableaux, miroir, perspectives, etc. &gt; vue.</w:t>
      </w:r>
    </w:p>
    <w:p w:rsidR="008627A9" w:rsidRDefault="008627A9" w:rsidP="008627A9">
      <w:r w:rsidRPr="00117293">
        <w:rPr>
          <w:u w:val="single"/>
        </w:rPr>
        <w:t>Allusion à la vanité</w:t>
      </w:r>
      <w:r>
        <w:t xml:space="preserve"> du savoir (livres), des richesses (objets précieux), des plaisirs (tabac, cartes, </w:t>
      </w:r>
      <w:r w:rsidR="008C24EC">
        <w:t xml:space="preserve">denrées, alcool, </w:t>
      </w:r>
      <w:r>
        <w:t>etc.), du pouvoir</w:t>
      </w:r>
      <w:r w:rsidR="00945BE4">
        <w:t xml:space="preserve"> (lauriers, pièces d’armures, armes,</w:t>
      </w:r>
      <w:r>
        <w:t xml:space="preserve"> etc.</w:t>
      </w:r>
      <w:r w:rsidR="00945BE4">
        <w:t>)</w:t>
      </w:r>
    </w:p>
    <w:p w:rsidR="008C24EC" w:rsidRPr="008C24EC" w:rsidRDefault="008C24EC" w:rsidP="008627A9">
      <w:pPr>
        <w:rPr>
          <w:u w:val="single"/>
        </w:rPr>
      </w:pPr>
      <w:r w:rsidRPr="008C24EC">
        <w:rPr>
          <w:u w:val="single"/>
        </w:rPr>
        <w:t>Allusion à la religion </w:t>
      </w:r>
    </w:p>
    <w:p w:rsidR="008627A9" w:rsidRDefault="008627A9" w:rsidP="008627A9">
      <w:r>
        <w:t xml:space="preserve">Il y a beaucoup d’autres sens symboliques qui se cumulent pour donner une importante polysémie aux œuvres, mais si les élèves sont capables d’interpréter quelques-uns de ceux énoncés ci-dessus, c’est </w:t>
      </w:r>
      <w:r w:rsidR="00F75CD6">
        <w:t>déjà très bien</w:t>
      </w:r>
      <w:r>
        <w:t>.</w:t>
      </w:r>
    </w:p>
    <w:p w:rsidR="008627A9" w:rsidRDefault="008627A9" w:rsidP="008627A9"/>
    <w:sectPr w:rsidR="008627A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C5F" w:rsidRDefault="00941C5F" w:rsidP="004C3FEE">
      <w:pPr>
        <w:spacing w:after="0" w:line="240" w:lineRule="auto"/>
      </w:pPr>
      <w:r>
        <w:separator/>
      </w:r>
    </w:p>
  </w:endnote>
  <w:endnote w:type="continuationSeparator" w:id="0">
    <w:p w:rsidR="00941C5F" w:rsidRDefault="00941C5F" w:rsidP="004C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617290"/>
      <w:docPartObj>
        <w:docPartGallery w:val="Page Numbers (Bottom of Page)"/>
        <w:docPartUnique/>
      </w:docPartObj>
    </w:sdtPr>
    <w:sdtContent>
      <w:p w:rsidR="004C3FEE" w:rsidRDefault="004C3FEE">
        <w:pPr>
          <w:pStyle w:val="Pieddepage"/>
          <w:jc w:val="right"/>
        </w:pPr>
        <w:r>
          <w:fldChar w:fldCharType="begin"/>
        </w:r>
        <w:r>
          <w:instrText>PAGE   \* MERGEFORMAT</w:instrText>
        </w:r>
        <w:r>
          <w:fldChar w:fldCharType="separate"/>
        </w:r>
        <w:r w:rsidR="00941C5F">
          <w:rPr>
            <w:noProof/>
          </w:rPr>
          <w:t>1</w:t>
        </w:r>
        <w:r>
          <w:fldChar w:fldCharType="end"/>
        </w:r>
      </w:p>
    </w:sdtContent>
  </w:sdt>
  <w:p w:rsidR="004C3FEE" w:rsidRDefault="004C3FEE">
    <w:pPr>
      <w:pStyle w:val="Pieddepage"/>
    </w:pPr>
    <w:r>
      <w:t xml:space="preserve">Conception : </w:t>
    </w:r>
    <w:hyperlink r:id="rId1" w:history="1">
      <w:r w:rsidR="009E12CE" w:rsidRPr="00734A68">
        <w:rPr>
          <w:rStyle w:val="Lienhypertexte"/>
        </w:rPr>
        <w:t>anne.matthaey@ac-strasbourg.fr</w:t>
      </w:r>
    </w:hyperlink>
    <w:r w:rsidR="009E12CE">
      <w:t xml:space="preserve"> CPDAP DSDEN67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C5F" w:rsidRDefault="00941C5F" w:rsidP="004C3FEE">
      <w:pPr>
        <w:spacing w:after="0" w:line="240" w:lineRule="auto"/>
      </w:pPr>
      <w:r>
        <w:separator/>
      </w:r>
    </w:p>
  </w:footnote>
  <w:footnote w:type="continuationSeparator" w:id="0">
    <w:p w:rsidR="00941C5F" w:rsidRDefault="00941C5F" w:rsidP="004C3F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72"/>
    <w:rsid w:val="002149CB"/>
    <w:rsid w:val="002504CE"/>
    <w:rsid w:val="00272FAD"/>
    <w:rsid w:val="003D1D65"/>
    <w:rsid w:val="00484235"/>
    <w:rsid w:val="004C0C0A"/>
    <w:rsid w:val="004C3FEE"/>
    <w:rsid w:val="0061577B"/>
    <w:rsid w:val="00683499"/>
    <w:rsid w:val="006C4F37"/>
    <w:rsid w:val="006D7218"/>
    <w:rsid w:val="007108BE"/>
    <w:rsid w:val="008627A9"/>
    <w:rsid w:val="00891AE3"/>
    <w:rsid w:val="008C24EC"/>
    <w:rsid w:val="00941C5F"/>
    <w:rsid w:val="00945BE4"/>
    <w:rsid w:val="009E12CE"/>
    <w:rsid w:val="00B67772"/>
    <w:rsid w:val="00D477AA"/>
    <w:rsid w:val="00E33372"/>
    <w:rsid w:val="00F01917"/>
    <w:rsid w:val="00F75C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C97D"/>
  <w15:chartTrackingRefBased/>
  <w15:docId w15:val="{6A69815A-990D-4A0F-8D80-8C2EDF9F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7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3FEE"/>
    <w:pPr>
      <w:tabs>
        <w:tab w:val="center" w:pos="4536"/>
        <w:tab w:val="right" w:pos="9072"/>
      </w:tabs>
      <w:spacing w:after="0" w:line="240" w:lineRule="auto"/>
    </w:pPr>
  </w:style>
  <w:style w:type="character" w:customStyle="1" w:styleId="En-tteCar">
    <w:name w:val="En-tête Car"/>
    <w:basedOn w:val="Policepardfaut"/>
    <w:link w:val="En-tte"/>
    <w:uiPriority w:val="99"/>
    <w:rsid w:val="004C3FEE"/>
  </w:style>
  <w:style w:type="paragraph" w:styleId="Pieddepage">
    <w:name w:val="footer"/>
    <w:basedOn w:val="Normal"/>
    <w:link w:val="PieddepageCar"/>
    <w:uiPriority w:val="99"/>
    <w:unhideWhenUsed/>
    <w:rsid w:val="004C3F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3FEE"/>
  </w:style>
  <w:style w:type="character" w:styleId="Lienhypertexte">
    <w:name w:val="Hyperlink"/>
    <w:basedOn w:val="Policepardfaut"/>
    <w:uiPriority w:val="99"/>
    <w:unhideWhenUsed/>
    <w:rsid w:val="009E12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anne.matthaey@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597</Words>
  <Characters>3285</Characters>
  <Application>Microsoft Office Word</Application>
  <DocSecurity>0</DocSecurity>
  <Lines>27</Lines>
  <Paragraphs>7</Paragraphs>
  <ScaleCrop>false</ScaleCrop>
  <Company>RECTORAT DE STRASBOURG</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Matthaey</dc:creator>
  <cp:keywords/>
  <dc:description/>
  <cp:lastModifiedBy>Anne Matthaey</cp:lastModifiedBy>
  <cp:revision>23</cp:revision>
  <dcterms:created xsi:type="dcterms:W3CDTF">2020-10-12T09:18:00Z</dcterms:created>
  <dcterms:modified xsi:type="dcterms:W3CDTF">2020-10-12T13:10:00Z</dcterms:modified>
</cp:coreProperties>
</file>